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C0" w:rsidRPr="00507FC0" w:rsidRDefault="00507FC0" w:rsidP="00507FC0">
      <w:pPr>
        <w:rPr>
          <w:rFonts w:ascii="Times New Roman" w:hAnsi="Times New Roman" w:cs="Times New Roman"/>
          <w:b/>
          <w:sz w:val="24"/>
          <w:szCs w:val="24"/>
        </w:rPr>
      </w:pPr>
      <w:r w:rsidRPr="00507FC0">
        <w:rPr>
          <w:rFonts w:ascii="Times New Roman" w:hAnsi="Times New Roman" w:cs="Times New Roman"/>
          <w:b/>
          <w:sz w:val="24"/>
          <w:szCs w:val="24"/>
        </w:rPr>
        <w:t>To:</w:t>
      </w:r>
      <w:r w:rsidRPr="00507FC0">
        <w:rPr>
          <w:rFonts w:ascii="Times New Roman" w:hAnsi="Times New Roman" w:cs="Times New Roman"/>
          <w:b/>
          <w:sz w:val="24"/>
          <w:szCs w:val="24"/>
        </w:rPr>
        <w:tab/>
      </w:r>
      <w:r w:rsidR="00F24DA7">
        <w:rPr>
          <w:rFonts w:ascii="Times New Roman" w:hAnsi="Times New Roman" w:cs="Times New Roman"/>
          <w:b/>
          <w:sz w:val="24"/>
          <w:szCs w:val="24"/>
        </w:rPr>
        <w:t>New Jersey Law Revision Commission</w:t>
      </w:r>
    </w:p>
    <w:p w:rsidR="00507FC0" w:rsidRPr="00507FC0" w:rsidRDefault="00507FC0" w:rsidP="00507FC0">
      <w:pPr>
        <w:rPr>
          <w:rFonts w:ascii="Times New Roman" w:hAnsi="Times New Roman" w:cs="Times New Roman"/>
          <w:b/>
          <w:sz w:val="24"/>
          <w:szCs w:val="24"/>
        </w:rPr>
      </w:pPr>
      <w:r w:rsidRPr="00507FC0">
        <w:rPr>
          <w:rFonts w:ascii="Times New Roman" w:hAnsi="Times New Roman" w:cs="Times New Roman"/>
          <w:b/>
          <w:sz w:val="24"/>
          <w:szCs w:val="24"/>
        </w:rPr>
        <w:t>From:</w:t>
      </w:r>
      <w:r w:rsidRPr="00507FC0">
        <w:rPr>
          <w:rFonts w:ascii="Times New Roman" w:hAnsi="Times New Roman" w:cs="Times New Roman"/>
          <w:b/>
          <w:sz w:val="24"/>
          <w:szCs w:val="24"/>
        </w:rPr>
        <w:tab/>
        <w:t>Erik Topp</w:t>
      </w:r>
    </w:p>
    <w:p w:rsidR="00507FC0" w:rsidRPr="00507FC0" w:rsidRDefault="00507FC0" w:rsidP="00507FC0">
      <w:pPr>
        <w:rPr>
          <w:rFonts w:ascii="Times New Roman" w:hAnsi="Times New Roman" w:cs="Times New Roman"/>
          <w:b/>
          <w:i/>
          <w:sz w:val="24"/>
          <w:szCs w:val="24"/>
        </w:rPr>
      </w:pPr>
      <w:r w:rsidRPr="00507FC0">
        <w:rPr>
          <w:rFonts w:ascii="Times New Roman" w:hAnsi="Times New Roman" w:cs="Times New Roman"/>
          <w:b/>
          <w:sz w:val="24"/>
          <w:szCs w:val="24"/>
        </w:rPr>
        <w:t>Re:</w:t>
      </w:r>
      <w:r w:rsidRPr="00507FC0">
        <w:rPr>
          <w:rFonts w:ascii="Times New Roman" w:hAnsi="Times New Roman" w:cs="Times New Roman"/>
          <w:b/>
          <w:sz w:val="24"/>
          <w:szCs w:val="24"/>
        </w:rPr>
        <w:tab/>
      </w:r>
      <w:r>
        <w:rPr>
          <w:rFonts w:ascii="Times New Roman" w:hAnsi="Times New Roman" w:cs="Times New Roman"/>
          <w:b/>
          <w:i/>
          <w:sz w:val="24"/>
          <w:szCs w:val="24"/>
        </w:rPr>
        <w:t>McCormick v. State</w:t>
      </w:r>
    </w:p>
    <w:p w:rsidR="00FA27ED" w:rsidRDefault="00392D1E" w:rsidP="00507FC0">
      <w:pPr>
        <w:ind w:firstLine="720"/>
        <w:rPr>
          <w:rFonts w:ascii="Times New Roman" w:hAnsi="Times New Roman" w:cs="Times New Roman"/>
          <w:b/>
          <w:sz w:val="24"/>
          <w:szCs w:val="24"/>
        </w:rPr>
      </w:pPr>
      <w:r>
        <w:rPr>
          <w:rFonts w:ascii="Times New Roman" w:hAnsi="Times New Roman" w:cs="Times New Roman"/>
          <w:b/>
          <w:sz w:val="24"/>
          <w:szCs w:val="24"/>
        </w:rPr>
        <w:t>Affidavit of Merit Requirement in Suits Against Public Entities</w:t>
      </w:r>
    </w:p>
    <w:p w:rsidR="00507FC0" w:rsidRPr="00FA27ED" w:rsidRDefault="00FA27ED" w:rsidP="00507FC0">
      <w:pPr>
        <w:ind w:firstLine="720"/>
        <w:rPr>
          <w:rFonts w:ascii="Times New Roman" w:hAnsi="Times New Roman" w:cs="Times New Roman"/>
          <w:b/>
          <w:sz w:val="24"/>
          <w:szCs w:val="24"/>
        </w:rPr>
      </w:pPr>
      <w:r w:rsidRPr="00FA27ED">
        <w:rPr>
          <w:rFonts w:ascii="Times New Roman" w:hAnsi="Times New Roman" w:cs="Times New Roman"/>
          <w:b/>
          <w:sz w:val="24"/>
          <w:szCs w:val="24"/>
        </w:rPr>
        <w:t>N.J.S. 2A:53A-26 to -29</w:t>
      </w:r>
    </w:p>
    <w:p w:rsidR="00507FC0" w:rsidRPr="00507FC0" w:rsidRDefault="00507FC0" w:rsidP="00507FC0">
      <w:pPr>
        <w:rPr>
          <w:rFonts w:ascii="Times New Roman" w:hAnsi="Times New Roman" w:cs="Times New Roman"/>
          <w:b/>
          <w:sz w:val="24"/>
          <w:szCs w:val="24"/>
        </w:rPr>
      </w:pPr>
      <w:r w:rsidRPr="00507FC0">
        <w:rPr>
          <w:rFonts w:ascii="Times New Roman" w:hAnsi="Times New Roman" w:cs="Times New Roman"/>
          <w:b/>
          <w:sz w:val="24"/>
          <w:szCs w:val="24"/>
        </w:rPr>
        <w:t>Date:</w:t>
      </w:r>
      <w:r w:rsidRPr="00507FC0">
        <w:rPr>
          <w:rFonts w:ascii="Times New Roman" w:hAnsi="Times New Roman" w:cs="Times New Roman"/>
          <w:b/>
          <w:sz w:val="24"/>
          <w:szCs w:val="24"/>
        </w:rPr>
        <w:tab/>
      </w:r>
      <w:r w:rsidR="00271359">
        <w:rPr>
          <w:rFonts w:ascii="Times New Roman" w:hAnsi="Times New Roman" w:cs="Times New Roman"/>
          <w:b/>
          <w:sz w:val="24"/>
          <w:szCs w:val="24"/>
        </w:rPr>
        <w:t>November 6</w:t>
      </w:r>
      <w:r w:rsidRPr="00507FC0">
        <w:rPr>
          <w:rFonts w:ascii="Times New Roman" w:hAnsi="Times New Roman" w:cs="Times New Roman"/>
          <w:b/>
          <w:sz w:val="24"/>
          <w:szCs w:val="24"/>
        </w:rPr>
        <w:t>, 2017</w:t>
      </w:r>
    </w:p>
    <w:p w:rsidR="00507FC0" w:rsidRPr="00507FC0" w:rsidRDefault="00507FC0" w:rsidP="00507FC0">
      <w:pPr>
        <w:tabs>
          <w:tab w:val="left" w:pos="1945"/>
        </w:tabs>
        <w:rPr>
          <w:rFonts w:ascii="Times New Roman" w:hAnsi="Times New Roman" w:cs="Times New Roman"/>
          <w:b/>
          <w:sz w:val="24"/>
          <w:szCs w:val="24"/>
        </w:rPr>
      </w:pPr>
      <w:r w:rsidRPr="00507FC0">
        <w:rPr>
          <w:rFonts w:ascii="Times New Roman" w:hAnsi="Times New Roman" w:cs="Times New Roman"/>
          <w:b/>
          <w:sz w:val="24"/>
          <w:szCs w:val="24"/>
        </w:rPr>
        <w:tab/>
      </w:r>
    </w:p>
    <w:p w:rsidR="00507FC0" w:rsidRPr="00507FC0" w:rsidRDefault="00507FC0" w:rsidP="00507FC0">
      <w:pPr>
        <w:jc w:val="center"/>
        <w:rPr>
          <w:rFonts w:ascii="Times New Roman" w:hAnsi="Times New Roman" w:cs="Times New Roman"/>
          <w:b/>
          <w:sz w:val="24"/>
          <w:szCs w:val="24"/>
        </w:rPr>
      </w:pPr>
      <w:r w:rsidRPr="00507FC0">
        <w:rPr>
          <w:rFonts w:ascii="Times New Roman" w:hAnsi="Times New Roman" w:cs="Times New Roman"/>
          <w:b/>
          <w:sz w:val="24"/>
          <w:szCs w:val="24"/>
        </w:rPr>
        <w:t>M E M O R A N D U M</w:t>
      </w:r>
    </w:p>
    <w:p w:rsidR="00507FC0" w:rsidRPr="00507FC0" w:rsidRDefault="00507FC0" w:rsidP="00507FC0">
      <w:pPr>
        <w:jc w:val="center"/>
        <w:rPr>
          <w:rFonts w:ascii="Times New Roman" w:hAnsi="Times New Roman" w:cs="Times New Roman"/>
          <w:b/>
          <w:sz w:val="24"/>
          <w:szCs w:val="24"/>
        </w:rPr>
      </w:pPr>
    </w:p>
    <w:p w:rsidR="00507FC0" w:rsidRPr="00507FC0" w:rsidRDefault="00507FC0" w:rsidP="00507FC0">
      <w:pPr>
        <w:jc w:val="center"/>
        <w:rPr>
          <w:rFonts w:ascii="Times New Roman" w:hAnsi="Times New Roman" w:cs="Times New Roman"/>
          <w:b/>
          <w:sz w:val="24"/>
          <w:szCs w:val="24"/>
        </w:rPr>
      </w:pPr>
      <w:r w:rsidRPr="00507FC0">
        <w:rPr>
          <w:rFonts w:ascii="Times New Roman" w:hAnsi="Times New Roman" w:cs="Times New Roman"/>
          <w:b/>
          <w:sz w:val="24"/>
          <w:szCs w:val="24"/>
        </w:rPr>
        <w:t>Executive Summary</w:t>
      </w:r>
    </w:p>
    <w:p w:rsidR="00507FC0" w:rsidRDefault="00507FC0" w:rsidP="00507FC0">
      <w:pPr>
        <w:jc w:val="center"/>
        <w:rPr>
          <w:rFonts w:ascii="Times New Roman" w:hAnsi="Times New Roman" w:cs="Times New Roman"/>
          <w:sz w:val="24"/>
          <w:szCs w:val="24"/>
        </w:rPr>
      </w:pPr>
    </w:p>
    <w:p w:rsidR="00507FC0" w:rsidRDefault="00507FC0" w:rsidP="00507FC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392D1E">
        <w:rPr>
          <w:rFonts w:ascii="Times New Roman" w:hAnsi="Times New Roman" w:cs="Times New Roman"/>
          <w:i/>
          <w:sz w:val="24"/>
          <w:szCs w:val="24"/>
        </w:rPr>
        <w:t>McCormick v. State</w:t>
      </w:r>
      <w:r>
        <w:rPr>
          <w:rFonts w:ascii="Times New Roman" w:hAnsi="Times New Roman" w:cs="Times New Roman"/>
          <w:sz w:val="24"/>
          <w:szCs w:val="24"/>
        </w:rPr>
        <w:t>,</w:t>
      </w:r>
      <w:r>
        <w:rPr>
          <w:rStyle w:val="FootnoteReference"/>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392D1E">
        <w:rPr>
          <w:rFonts w:ascii="Times New Roman" w:hAnsi="Times New Roman" w:cs="Times New Roman"/>
          <w:sz w:val="24"/>
          <w:szCs w:val="24"/>
        </w:rPr>
        <w:t>Appellate</w:t>
      </w:r>
      <w:r>
        <w:rPr>
          <w:rFonts w:ascii="Times New Roman" w:hAnsi="Times New Roman" w:cs="Times New Roman"/>
          <w:sz w:val="24"/>
          <w:szCs w:val="24"/>
        </w:rPr>
        <w:t xml:space="preserve"> Division considered</w:t>
      </w:r>
      <w:r w:rsidR="00392D1E">
        <w:rPr>
          <w:rFonts w:ascii="Times New Roman" w:hAnsi="Times New Roman" w:cs="Times New Roman"/>
          <w:sz w:val="24"/>
          <w:szCs w:val="24"/>
        </w:rPr>
        <w:t xml:space="preserve"> </w:t>
      </w:r>
      <w:r w:rsidR="00F33DF5">
        <w:rPr>
          <w:rFonts w:ascii="Times New Roman" w:hAnsi="Times New Roman" w:cs="Times New Roman"/>
          <w:sz w:val="24"/>
          <w:szCs w:val="24"/>
        </w:rPr>
        <w:t xml:space="preserve">a question not previously decided </w:t>
      </w:r>
      <w:r w:rsidR="00EA5B7C">
        <w:rPr>
          <w:rFonts w:ascii="Times New Roman" w:hAnsi="Times New Roman" w:cs="Times New Roman"/>
          <w:sz w:val="24"/>
          <w:szCs w:val="24"/>
        </w:rPr>
        <w:t>by the case law</w:t>
      </w:r>
      <w:r w:rsidR="00F33DF5">
        <w:rPr>
          <w:rFonts w:ascii="Times New Roman" w:hAnsi="Times New Roman" w:cs="Times New Roman"/>
          <w:sz w:val="24"/>
          <w:szCs w:val="24"/>
        </w:rPr>
        <w:t xml:space="preserve"> concerning affidavits of merit - </w:t>
      </w:r>
      <w:r w:rsidR="00392D1E">
        <w:rPr>
          <w:rFonts w:ascii="Times New Roman" w:hAnsi="Times New Roman" w:cs="Times New Roman"/>
          <w:sz w:val="24"/>
          <w:szCs w:val="24"/>
        </w:rPr>
        <w:t xml:space="preserve">whether an individual alleging negligence in a medical malpractice case may </w:t>
      </w:r>
      <w:r w:rsidR="00D14287">
        <w:rPr>
          <w:rFonts w:ascii="Times New Roman" w:hAnsi="Times New Roman" w:cs="Times New Roman"/>
          <w:sz w:val="24"/>
          <w:szCs w:val="24"/>
        </w:rPr>
        <w:t>“avoid the need to obtain an AOM by suing only the public entity and not the professionals.”</w:t>
      </w:r>
      <w:r w:rsidR="00D14287">
        <w:rPr>
          <w:rStyle w:val="FootnoteReference"/>
          <w:rFonts w:cs="Times New Roman"/>
          <w:sz w:val="24"/>
          <w:szCs w:val="24"/>
        </w:rPr>
        <w:footnoteReference w:id="2"/>
      </w:r>
    </w:p>
    <w:p w:rsidR="00507FC0" w:rsidRDefault="00507FC0" w:rsidP="00507FC0">
      <w:pPr>
        <w:spacing w:line="276" w:lineRule="auto"/>
        <w:ind w:firstLine="720"/>
        <w:jc w:val="both"/>
        <w:rPr>
          <w:rFonts w:ascii="Times New Roman" w:hAnsi="Times New Roman" w:cs="Times New Roman"/>
          <w:sz w:val="24"/>
          <w:szCs w:val="24"/>
        </w:rPr>
      </w:pPr>
    </w:p>
    <w:p w:rsidR="00507FC0" w:rsidRDefault="00507FC0" w:rsidP="00507FC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33DF5">
        <w:rPr>
          <w:rFonts w:ascii="Times New Roman" w:hAnsi="Times New Roman" w:cs="Times New Roman"/>
          <w:sz w:val="24"/>
          <w:szCs w:val="24"/>
        </w:rPr>
        <w:t>C</w:t>
      </w:r>
      <w:r>
        <w:rPr>
          <w:rFonts w:ascii="Times New Roman" w:hAnsi="Times New Roman" w:cs="Times New Roman"/>
          <w:sz w:val="24"/>
          <w:szCs w:val="24"/>
        </w:rPr>
        <w:t>ourt determined that</w:t>
      </w:r>
      <w:r w:rsidR="00D14287">
        <w:rPr>
          <w:rFonts w:ascii="Times New Roman" w:hAnsi="Times New Roman" w:cs="Times New Roman"/>
          <w:sz w:val="24"/>
          <w:szCs w:val="24"/>
        </w:rPr>
        <w:t xml:space="preserve"> a litigant may not circumvent the </w:t>
      </w:r>
      <w:r w:rsidR="00F33DF5">
        <w:rPr>
          <w:rFonts w:ascii="Times New Roman" w:hAnsi="Times New Roman" w:cs="Times New Roman"/>
          <w:sz w:val="24"/>
          <w:szCs w:val="24"/>
        </w:rPr>
        <w:t>affidavit of merit</w:t>
      </w:r>
      <w:r w:rsidR="00D14287">
        <w:rPr>
          <w:rFonts w:ascii="Times New Roman" w:hAnsi="Times New Roman" w:cs="Times New Roman"/>
          <w:sz w:val="24"/>
          <w:szCs w:val="24"/>
        </w:rPr>
        <w:t xml:space="preserve"> requirement by </w:t>
      </w:r>
      <w:r w:rsidR="00076931">
        <w:rPr>
          <w:rFonts w:ascii="Times New Roman" w:hAnsi="Times New Roman" w:cs="Times New Roman"/>
          <w:sz w:val="24"/>
          <w:szCs w:val="24"/>
        </w:rPr>
        <w:t>suing only the public entity,</w:t>
      </w:r>
      <w:r>
        <w:rPr>
          <w:rStyle w:val="FootnoteReference"/>
          <w:sz w:val="24"/>
          <w:szCs w:val="24"/>
        </w:rPr>
        <w:footnoteReference w:id="3"/>
      </w:r>
      <w:r w:rsidR="00076931">
        <w:rPr>
          <w:rFonts w:ascii="Times New Roman" w:hAnsi="Times New Roman" w:cs="Times New Roman"/>
          <w:sz w:val="24"/>
          <w:szCs w:val="24"/>
        </w:rPr>
        <w:t xml:space="preserve"> on the grounds that an AOM is required where a claim of vicarious liability against the State is based on “allegations of deviation from professional standards of care by licensed individuals who worked for” the State.</w:t>
      </w:r>
      <w:r w:rsidR="00874347">
        <w:rPr>
          <w:rStyle w:val="FootnoteReference"/>
          <w:rFonts w:cs="Times New Roman"/>
          <w:sz w:val="24"/>
          <w:szCs w:val="24"/>
        </w:rPr>
        <w:footnoteReference w:id="4"/>
      </w:r>
    </w:p>
    <w:p w:rsidR="00507FC0" w:rsidRDefault="00507FC0" w:rsidP="00507FC0">
      <w:pPr>
        <w:spacing w:line="276" w:lineRule="auto"/>
        <w:jc w:val="both"/>
        <w:rPr>
          <w:rFonts w:ascii="Times New Roman" w:hAnsi="Times New Roman" w:cs="Times New Roman"/>
          <w:sz w:val="24"/>
          <w:szCs w:val="24"/>
        </w:rPr>
      </w:pPr>
    </w:p>
    <w:p w:rsidR="00507FC0" w:rsidRPr="00507FC0" w:rsidRDefault="00507FC0" w:rsidP="00507FC0">
      <w:pPr>
        <w:spacing w:line="276" w:lineRule="auto"/>
        <w:jc w:val="center"/>
        <w:rPr>
          <w:rFonts w:ascii="Times New Roman" w:hAnsi="Times New Roman" w:cs="Times New Roman"/>
          <w:b/>
          <w:sz w:val="24"/>
          <w:szCs w:val="24"/>
        </w:rPr>
      </w:pPr>
      <w:r w:rsidRPr="00507FC0">
        <w:rPr>
          <w:rFonts w:ascii="Times New Roman" w:hAnsi="Times New Roman" w:cs="Times New Roman"/>
          <w:b/>
          <w:sz w:val="24"/>
          <w:szCs w:val="24"/>
        </w:rPr>
        <w:t>Background</w:t>
      </w:r>
    </w:p>
    <w:p w:rsidR="00507FC0" w:rsidRDefault="00507FC0" w:rsidP="00507FC0">
      <w:pPr>
        <w:spacing w:line="276" w:lineRule="auto"/>
        <w:jc w:val="center"/>
        <w:rPr>
          <w:rFonts w:ascii="Times New Roman" w:hAnsi="Times New Roman" w:cs="Times New Roman"/>
          <w:sz w:val="24"/>
          <w:szCs w:val="24"/>
        </w:rPr>
      </w:pPr>
    </w:p>
    <w:p w:rsidR="00507FC0" w:rsidRDefault="001D7D31" w:rsidP="00F33DF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McCormick was an inmate in State custody who sought treatment for severe head pains in June 2010.</w:t>
      </w:r>
      <w:r>
        <w:rPr>
          <w:rStyle w:val="FootnoteReference"/>
          <w:rFonts w:cs="Times New Roman"/>
          <w:sz w:val="24"/>
          <w:szCs w:val="24"/>
        </w:rPr>
        <w:footnoteReference w:id="5"/>
      </w:r>
      <w:r>
        <w:rPr>
          <w:rFonts w:ascii="Times New Roman" w:hAnsi="Times New Roman" w:cs="Times New Roman"/>
          <w:sz w:val="24"/>
          <w:szCs w:val="24"/>
        </w:rPr>
        <w:t xml:space="preserve"> When he complained about the issue, he was given a general painkiller, but was not formally evaluated or diagnosed.</w:t>
      </w:r>
      <w:r>
        <w:rPr>
          <w:rStyle w:val="FootnoteReference"/>
          <w:rFonts w:cs="Times New Roman"/>
          <w:sz w:val="24"/>
          <w:szCs w:val="24"/>
        </w:rPr>
        <w:footnoteReference w:id="6"/>
      </w:r>
      <w:r>
        <w:rPr>
          <w:rFonts w:ascii="Times New Roman" w:hAnsi="Times New Roman" w:cs="Times New Roman"/>
          <w:sz w:val="24"/>
          <w:szCs w:val="24"/>
        </w:rPr>
        <w:t xml:space="preserve"> </w:t>
      </w:r>
      <w:r w:rsidR="00F5129D">
        <w:rPr>
          <w:rFonts w:ascii="Times New Roman" w:hAnsi="Times New Roman" w:cs="Times New Roman"/>
          <w:sz w:val="24"/>
          <w:szCs w:val="24"/>
        </w:rPr>
        <w:t>When</w:t>
      </w:r>
      <w:r>
        <w:rPr>
          <w:rFonts w:ascii="Times New Roman" w:hAnsi="Times New Roman" w:cs="Times New Roman"/>
          <w:sz w:val="24"/>
          <w:szCs w:val="24"/>
        </w:rPr>
        <w:t xml:space="preserve"> the problem persisted, McCormick was transferred to a hospital, where he was diagnosed with and treated for a brain abscess.</w:t>
      </w:r>
      <w:r>
        <w:rPr>
          <w:rStyle w:val="FootnoteReference"/>
          <w:rFonts w:cs="Times New Roman"/>
          <w:sz w:val="24"/>
          <w:szCs w:val="24"/>
        </w:rPr>
        <w:footnoteReference w:id="7"/>
      </w:r>
      <w:r>
        <w:rPr>
          <w:rFonts w:ascii="Times New Roman" w:hAnsi="Times New Roman" w:cs="Times New Roman"/>
          <w:sz w:val="24"/>
          <w:szCs w:val="24"/>
        </w:rPr>
        <w:t xml:space="preserve"> After his treatment, McCormick was discharged back to the South Woods State Prison, where he continued to suffer from blurred vision and dizziness.</w:t>
      </w:r>
      <w:r>
        <w:rPr>
          <w:rStyle w:val="FootnoteReference"/>
          <w:rFonts w:cs="Times New Roman"/>
          <w:sz w:val="24"/>
          <w:szCs w:val="24"/>
        </w:rPr>
        <w:footnoteReference w:id="8"/>
      </w:r>
      <w:r>
        <w:rPr>
          <w:rFonts w:ascii="Times New Roman" w:hAnsi="Times New Roman" w:cs="Times New Roman"/>
          <w:sz w:val="24"/>
          <w:szCs w:val="24"/>
        </w:rPr>
        <w:t xml:space="preserve"> McCormick filed notice of tort claim and filed suit against the State and the State alone, alleging that the medical staff at South Woods failed to adequately treat him.</w:t>
      </w:r>
      <w:r>
        <w:rPr>
          <w:rStyle w:val="FootnoteReference"/>
          <w:rFonts w:cs="Times New Roman"/>
          <w:sz w:val="24"/>
          <w:szCs w:val="24"/>
        </w:rPr>
        <w:footnoteReference w:id="9"/>
      </w:r>
      <w:r w:rsidR="003425B4">
        <w:rPr>
          <w:rFonts w:ascii="Times New Roman" w:hAnsi="Times New Roman" w:cs="Times New Roman"/>
          <w:sz w:val="24"/>
          <w:szCs w:val="24"/>
        </w:rPr>
        <w:t xml:space="preserve"> The case was dismissed with prejudice </w:t>
      </w:r>
      <w:r w:rsidR="00B57FC9">
        <w:rPr>
          <w:rFonts w:ascii="Times New Roman" w:hAnsi="Times New Roman" w:cs="Times New Roman"/>
          <w:sz w:val="24"/>
          <w:szCs w:val="24"/>
        </w:rPr>
        <w:t>for failure to provide an AOM</w:t>
      </w:r>
      <w:r w:rsidR="00DF4694">
        <w:rPr>
          <w:rFonts w:ascii="Times New Roman" w:hAnsi="Times New Roman" w:cs="Times New Roman"/>
          <w:sz w:val="24"/>
          <w:szCs w:val="24"/>
        </w:rPr>
        <w:t xml:space="preserve">; the </w:t>
      </w:r>
      <w:r w:rsidR="00F5129D">
        <w:rPr>
          <w:rFonts w:ascii="Times New Roman" w:hAnsi="Times New Roman" w:cs="Times New Roman"/>
          <w:sz w:val="24"/>
          <w:szCs w:val="24"/>
        </w:rPr>
        <w:t>C</w:t>
      </w:r>
      <w:r w:rsidR="00DF4694">
        <w:rPr>
          <w:rFonts w:ascii="Times New Roman" w:hAnsi="Times New Roman" w:cs="Times New Roman"/>
          <w:sz w:val="24"/>
          <w:szCs w:val="24"/>
        </w:rPr>
        <w:t>ourt stated that one was necessary because the allegations involved conduct by licensed professionals.</w:t>
      </w:r>
      <w:r w:rsidR="004C12AA">
        <w:rPr>
          <w:rStyle w:val="FootnoteReference"/>
          <w:rFonts w:cs="Times New Roman"/>
          <w:sz w:val="24"/>
          <w:szCs w:val="24"/>
        </w:rPr>
        <w:footnoteReference w:id="10"/>
      </w:r>
    </w:p>
    <w:p w:rsidR="00507FC0" w:rsidRDefault="00507FC0" w:rsidP="00F33DF5">
      <w:pPr>
        <w:spacing w:line="276" w:lineRule="auto"/>
        <w:ind w:firstLine="720"/>
        <w:jc w:val="both"/>
        <w:rPr>
          <w:rFonts w:ascii="Times New Roman" w:hAnsi="Times New Roman" w:cs="Times New Roman"/>
          <w:sz w:val="24"/>
          <w:szCs w:val="24"/>
        </w:rPr>
      </w:pPr>
    </w:p>
    <w:p w:rsidR="00507FC0" w:rsidRDefault="00DF4694" w:rsidP="00F33DF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appeal, the </w:t>
      </w:r>
      <w:r w:rsidR="006958E9">
        <w:rPr>
          <w:rFonts w:ascii="Times New Roman" w:hAnsi="Times New Roman" w:cs="Times New Roman"/>
          <w:sz w:val="24"/>
          <w:szCs w:val="24"/>
        </w:rPr>
        <w:t>Appellate Division</w:t>
      </w:r>
      <w:r w:rsidR="00FA394C">
        <w:rPr>
          <w:rFonts w:ascii="Times New Roman" w:hAnsi="Times New Roman" w:cs="Times New Roman"/>
          <w:sz w:val="24"/>
          <w:szCs w:val="24"/>
        </w:rPr>
        <w:t xml:space="preserve"> determined that McCormick was required to provide an AOM, but afforded him an opportunity </w:t>
      </w:r>
      <w:r w:rsidR="005372C4">
        <w:rPr>
          <w:rFonts w:ascii="Times New Roman" w:hAnsi="Times New Roman" w:cs="Times New Roman"/>
          <w:sz w:val="24"/>
          <w:szCs w:val="24"/>
        </w:rPr>
        <w:t xml:space="preserve">to be heard and potentially </w:t>
      </w:r>
      <w:r w:rsidR="00FA394C">
        <w:rPr>
          <w:rFonts w:ascii="Times New Roman" w:hAnsi="Times New Roman" w:cs="Times New Roman"/>
          <w:sz w:val="24"/>
          <w:szCs w:val="24"/>
        </w:rPr>
        <w:t xml:space="preserve">to go back and obtain </w:t>
      </w:r>
      <w:r w:rsidR="005372C4">
        <w:rPr>
          <w:rFonts w:ascii="Times New Roman" w:hAnsi="Times New Roman" w:cs="Times New Roman"/>
          <w:sz w:val="24"/>
          <w:szCs w:val="24"/>
        </w:rPr>
        <w:t>them as needed</w:t>
      </w:r>
      <w:r w:rsidR="00FA394C">
        <w:rPr>
          <w:rFonts w:ascii="Times New Roman" w:hAnsi="Times New Roman" w:cs="Times New Roman"/>
          <w:sz w:val="24"/>
          <w:szCs w:val="24"/>
        </w:rPr>
        <w:t>.</w:t>
      </w:r>
      <w:r w:rsidR="00FA394C">
        <w:rPr>
          <w:rStyle w:val="FootnoteReference"/>
          <w:rFonts w:cs="Times New Roman"/>
          <w:sz w:val="24"/>
          <w:szCs w:val="24"/>
        </w:rPr>
        <w:footnoteReference w:id="11"/>
      </w:r>
      <w:r w:rsidR="008364E0">
        <w:rPr>
          <w:rFonts w:ascii="Times New Roman" w:hAnsi="Times New Roman" w:cs="Times New Roman"/>
          <w:sz w:val="24"/>
          <w:szCs w:val="24"/>
        </w:rPr>
        <w:t xml:space="preserve"> </w:t>
      </w:r>
      <w:r w:rsidR="004918D2">
        <w:rPr>
          <w:rFonts w:ascii="Times New Roman" w:hAnsi="Times New Roman" w:cs="Times New Roman"/>
          <w:sz w:val="24"/>
          <w:szCs w:val="24"/>
        </w:rPr>
        <w:t xml:space="preserve">In determining that McCormick was required to provide an AOM, the </w:t>
      </w:r>
      <w:r w:rsidR="00F5129D">
        <w:rPr>
          <w:rFonts w:ascii="Times New Roman" w:hAnsi="Times New Roman" w:cs="Times New Roman"/>
          <w:sz w:val="24"/>
          <w:szCs w:val="24"/>
        </w:rPr>
        <w:t>C</w:t>
      </w:r>
      <w:r w:rsidR="004918D2">
        <w:rPr>
          <w:rFonts w:ascii="Times New Roman" w:hAnsi="Times New Roman" w:cs="Times New Roman"/>
          <w:sz w:val="24"/>
          <w:szCs w:val="24"/>
        </w:rPr>
        <w:t xml:space="preserve">ourt stated that a litigant may not </w:t>
      </w:r>
      <w:r w:rsidR="008D4447">
        <w:rPr>
          <w:rFonts w:ascii="Times New Roman" w:hAnsi="Times New Roman" w:cs="Times New Roman"/>
          <w:sz w:val="24"/>
          <w:szCs w:val="24"/>
        </w:rPr>
        <w:t>avoid the requiremen</w:t>
      </w:r>
      <w:r w:rsidR="001A3EC8">
        <w:rPr>
          <w:rFonts w:ascii="Times New Roman" w:hAnsi="Times New Roman" w:cs="Times New Roman"/>
          <w:sz w:val="24"/>
          <w:szCs w:val="24"/>
        </w:rPr>
        <w:t>t by suing an entity on its own, even though the statute states that a litigant need only provide an affidavit of merit where he pursues an action against a “licensed person.”</w:t>
      </w:r>
      <w:r w:rsidR="008D4447">
        <w:rPr>
          <w:rStyle w:val="FootnoteReference"/>
          <w:rFonts w:cs="Times New Roman"/>
          <w:sz w:val="24"/>
          <w:szCs w:val="24"/>
        </w:rPr>
        <w:footnoteReference w:id="12"/>
      </w:r>
      <w:r w:rsidR="006958E9">
        <w:rPr>
          <w:rFonts w:ascii="Times New Roman" w:hAnsi="Times New Roman" w:cs="Times New Roman"/>
          <w:sz w:val="24"/>
          <w:szCs w:val="24"/>
        </w:rPr>
        <w:t xml:space="preserve"> </w:t>
      </w:r>
      <w:r w:rsidR="00507FC0">
        <w:rPr>
          <w:rFonts w:ascii="Times New Roman" w:hAnsi="Times New Roman" w:cs="Times New Roman"/>
          <w:sz w:val="24"/>
          <w:szCs w:val="24"/>
        </w:rPr>
        <w:t>The relevant portion of the statute states the following:</w:t>
      </w:r>
    </w:p>
    <w:p w:rsidR="00F5129D" w:rsidRDefault="00F5129D" w:rsidP="00F33DF5">
      <w:pPr>
        <w:spacing w:line="276" w:lineRule="auto"/>
        <w:ind w:firstLine="720"/>
        <w:jc w:val="both"/>
        <w:rPr>
          <w:rFonts w:ascii="Times New Roman" w:hAnsi="Times New Roman" w:cs="Times New Roman"/>
          <w:sz w:val="24"/>
          <w:szCs w:val="24"/>
        </w:rPr>
      </w:pPr>
    </w:p>
    <w:p w:rsidR="00507FC0" w:rsidRDefault="004F18DC" w:rsidP="00F5129D">
      <w:pPr>
        <w:spacing w:line="276" w:lineRule="auto"/>
        <w:ind w:left="720" w:right="720"/>
        <w:jc w:val="both"/>
        <w:rPr>
          <w:rFonts w:ascii="Times New Roman" w:hAnsi="Times New Roman" w:cs="Times New Roman"/>
          <w:sz w:val="24"/>
          <w:szCs w:val="24"/>
        </w:rPr>
      </w:pPr>
      <w:r w:rsidRPr="004F18DC">
        <w:rPr>
          <w:rFonts w:ascii="Times New Roman" w:hAnsi="Times New Roman" w:cs="Times New Roman"/>
          <w:sz w:val="24"/>
          <w:szCs w:val="24"/>
        </w:rPr>
        <w:t>In any action for damages for personal injuries, wrongful death or property damage resulting from an alleged act of malpractice or negligence by a licensed person in his profession or occupation, the plaintiff shall, within 60 days following the date of filing of the answer to the complaint by the defendant, provide each defendant with an affidavit of an appropriate licensed person that there exists a reasonable probability that the care, skill or knowledge exercised or exhibited in the treatment, practice or work that is the subject of the complaint, fell outside acceptable professional or occupational standards or treatment practices.</w:t>
      </w:r>
      <w:r>
        <w:rPr>
          <w:rStyle w:val="FootnoteReference"/>
          <w:rFonts w:cs="Times New Roman"/>
          <w:sz w:val="24"/>
          <w:szCs w:val="24"/>
        </w:rPr>
        <w:footnoteReference w:id="13"/>
      </w:r>
    </w:p>
    <w:p w:rsidR="004F18DC" w:rsidRDefault="004F18DC" w:rsidP="00F33DF5">
      <w:pPr>
        <w:spacing w:line="276" w:lineRule="auto"/>
        <w:ind w:firstLine="720"/>
        <w:jc w:val="both"/>
        <w:rPr>
          <w:rFonts w:ascii="Times New Roman" w:hAnsi="Times New Roman" w:cs="Times New Roman"/>
          <w:sz w:val="24"/>
          <w:szCs w:val="24"/>
        </w:rPr>
      </w:pPr>
    </w:p>
    <w:p w:rsidR="00F5129D" w:rsidRDefault="00743996" w:rsidP="00F5129D">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statute literally reads that an AOM is required where a “licensed person” is the subject of a claim, the court stated that the Legislature’s intent in crafting the law was to </w:t>
      </w:r>
      <w:r w:rsidR="00A17481">
        <w:rPr>
          <w:rFonts w:ascii="Times New Roman" w:hAnsi="Times New Roman" w:cs="Times New Roman"/>
          <w:sz w:val="24"/>
          <w:szCs w:val="24"/>
        </w:rPr>
        <w:t>require a proof of the conduct alleged, meaning that an AOM is required whenever the suit is rooted in an allegation that a professional “engage[d] in harmful conduct that deviates from the standards of care of their respective fields of licensure” and that a “public entity is liable for that harm.”</w:t>
      </w:r>
      <w:r w:rsidR="00A17481">
        <w:rPr>
          <w:rStyle w:val="FootnoteReference"/>
          <w:rFonts w:cs="Times New Roman"/>
          <w:sz w:val="24"/>
          <w:szCs w:val="24"/>
        </w:rPr>
        <w:footnoteReference w:id="14"/>
      </w:r>
      <w:r w:rsidR="00F5129D">
        <w:rPr>
          <w:rFonts w:ascii="Times New Roman" w:hAnsi="Times New Roman" w:cs="Times New Roman"/>
          <w:sz w:val="24"/>
          <w:szCs w:val="24"/>
        </w:rPr>
        <w:t xml:space="preserve"> The Court in </w:t>
      </w:r>
      <w:r w:rsidR="00F5129D">
        <w:rPr>
          <w:rFonts w:ascii="Times New Roman" w:hAnsi="Times New Roman" w:cs="Times New Roman"/>
          <w:i/>
          <w:sz w:val="24"/>
          <w:szCs w:val="24"/>
        </w:rPr>
        <w:t xml:space="preserve">McCormick </w:t>
      </w:r>
      <w:r w:rsidR="00F5129D">
        <w:rPr>
          <w:rFonts w:ascii="Times New Roman" w:hAnsi="Times New Roman" w:cs="Times New Roman"/>
          <w:sz w:val="24"/>
          <w:szCs w:val="24"/>
        </w:rPr>
        <w:t>suggested that “</w:t>
      </w:r>
      <w:r w:rsidR="00F5129D" w:rsidRPr="00F5129D">
        <w:rPr>
          <w:rFonts w:ascii="Times New Roman" w:hAnsi="Times New Roman" w:cs="Times New Roman"/>
          <w:sz w:val="24"/>
          <w:szCs w:val="24"/>
        </w:rPr>
        <w:t>arguments based on a hyper-literal reading of the AOM statute do not excuse plaintiff from his failure to supply a proper affidavit to support his claims that fundamentally are allegations of medical negligence. He cannot avoid the important screening mechanism of the AOM statute by suing only the public entity that procured the services of the individual health care professionals who worked at the prison.</w:t>
      </w:r>
      <w:r w:rsidR="00F5129D">
        <w:rPr>
          <w:rFonts w:ascii="Times New Roman" w:hAnsi="Times New Roman" w:cs="Times New Roman"/>
          <w:sz w:val="24"/>
          <w:szCs w:val="24"/>
        </w:rPr>
        <w:t>”</w:t>
      </w:r>
      <w:r w:rsidR="00F5129D">
        <w:rPr>
          <w:rStyle w:val="FootnoteReference"/>
          <w:rFonts w:cs="Times New Roman"/>
          <w:sz w:val="24"/>
          <w:szCs w:val="24"/>
        </w:rPr>
        <w:footnoteReference w:id="15"/>
      </w:r>
      <w:r w:rsidR="006958E9">
        <w:rPr>
          <w:rFonts w:ascii="Times New Roman" w:hAnsi="Times New Roman" w:cs="Times New Roman"/>
          <w:sz w:val="24"/>
          <w:szCs w:val="24"/>
        </w:rPr>
        <w:t xml:space="preserve"> </w:t>
      </w:r>
      <w:r w:rsidR="00F5129D">
        <w:rPr>
          <w:rFonts w:ascii="Times New Roman" w:hAnsi="Times New Roman" w:cs="Times New Roman"/>
          <w:sz w:val="24"/>
          <w:szCs w:val="24"/>
        </w:rPr>
        <w:t xml:space="preserve">The Court explained that </w:t>
      </w:r>
    </w:p>
    <w:p w:rsidR="00F5129D" w:rsidRDefault="00F5129D" w:rsidP="00F5129D">
      <w:pPr>
        <w:spacing w:line="276" w:lineRule="auto"/>
        <w:ind w:firstLine="720"/>
        <w:jc w:val="both"/>
        <w:rPr>
          <w:rFonts w:ascii="Times New Roman" w:hAnsi="Times New Roman" w:cs="Times New Roman"/>
          <w:sz w:val="24"/>
          <w:szCs w:val="24"/>
        </w:rPr>
      </w:pPr>
    </w:p>
    <w:p w:rsidR="00F5129D" w:rsidRPr="00F5129D" w:rsidRDefault="00F5129D" w:rsidP="00F5129D">
      <w:pPr>
        <w:spacing w:line="276" w:lineRule="auto"/>
        <w:ind w:left="720" w:right="720" w:firstLine="720"/>
        <w:jc w:val="both"/>
        <w:rPr>
          <w:rFonts w:ascii="Times New Roman" w:hAnsi="Times New Roman" w:cs="Times New Roman"/>
          <w:sz w:val="24"/>
          <w:szCs w:val="24"/>
        </w:rPr>
      </w:pPr>
      <w:r w:rsidRPr="00F5129D">
        <w:rPr>
          <w:rFonts w:ascii="Times New Roman" w:hAnsi="Times New Roman" w:cs="Times New Roman"/>
          <w:sz w:val="24"/>
          <w:szCs w:val="24"/>
        </w:rPr>
        <w:t xml:space="preserve">The State employs or utilizes through contracts a host of licensed professionals who work in its prisons, hospitals, mental health facilities, institutions, transportation systems, and other operations. These professionals include doctors, nurses, therapists, counselors, engineers, and scores of other </w:t>
      </w:r>
      <w:r w:rsidRPr="00F5129D">
        <w:rPr>
          <w:rFonts w:ascii="Times New Roman" w:hAnsi="Times New Roman" w:cs="Times New Roman"/>
          <w:sz w:val="24"/>
          <w:szCs w:val="24"/>
        </w:rPr>
        <w:lastRenderedPageBreak/>
        <w:t>licensees encompassed within the broad sweep of the AOM statute. </w:t>
      </w:r>
      <w:r w:rsidRPr="00F5129D">
        <w:rPr>
          <w:rFonts w:ascii="Times New Roman" w:hAnsi="Times New Roman" w:cs="Times New Roman"/>
          <w:i/>
          <w:iCs/>
          <w:sz w:val="24"/>
          <w:szCs w:val="24"/>
        </w:rPr>
        <w:t>N.J.S.A.</w:t>
      </w:r>
      <w:r w:rsidRPr="00F5129D">
        <w:rPr>
          <w:rFonts w:ascii="Times New Roman" w:hAnsi="Times New Roman" w:cs="Times New Roman"/>
          <w:sz w:val="24"/>
          <w:szCs w:val="24"/>
        </w:rPr>
        <w:t> 2A:53A–26.</w:t>
      </w:r>
    </w:p>
    <w:p w:rsidR="00F5129D" w:rsidRPr="00F5129D" w:rsidRDefault="00F5129D" w:rsidP="00F5129D">
      <w:pPr>
        <w:spacing w:line="276" w:lineRule="auto"/>
        <w:ind w:left="720" w:right="720" w:firstLine="720"/>
        <w:jc w:val="both"/>
        <w:rPr>
          <w:rFonts w:ascii="Times New Roman" w:hAnsi="Times New Roman" w:cs="Times New Roman"/>
          <w:sz w:val="24"/>
          <w:szCs w:val="24"/>
        </w:rPr>
      </w:pPr>
      <w:r w:rsidRPr="00F5129D">
        <w:rPr>
          <w:rFonts w:ascii="Times New Roman" w:hAnsi="Times New Roman" w:cs="Times New Roman"/>
          <w:sz w:val="24"/>
          <w:szCs w:val="24"/>
        </w:rPr>
        <w:t>If such professionals while serving the State, or for that matter any other public entity, engage in harmful conduct that deviates from the standards of care of their respective fields of licensure, and a plaintiff claims that the defendant public entity is liable for that harm under agency principles, then an AOM from an appropriate qualified person is necessary to support the lawsuit.</w:t>
      </w:r>
      <w:r>
        <w:rPr>
          <w:rStyle w:val="FootnoteReference"/>
          <w:rFonts w:cs="Times New Roman"/>
          <w:sz w:val="24"/>
          <w:szCs w:val="24"/>
        </w:rPr>
        <w:footnoteReference w:id="16"/>
      </w:r>
    </w:p>
    <w:p w:rsidR="00F5129D" w:rsidRDefault="00F5129D" w:rsidP="00F5129D">
      <w:pPr>
        <w:spacing w:line="276" w:lineRule="auto"/>
        <w:ind w:firstLine="720"/>
        <w:jc w:val="center"/>
        <w:rPr>
          <w:rFonts w:ascii="Times New Roman" w:hAnsi="Times New Roman" w:cs="Times New Roman"/>
          <w:sz w:val="24"/>
          <w:szCs w:val="24"/>
        </w:rPr>
      </w:pPr>
    </w:p>
    <w:p w:rsidR="006958E9" w:rsidRDefault="00F5129D" w:rsidP="00F5129D">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958E9">
        <w:rPr>
          <w:rFonts w:ascii="Times New Roman" w:hAnsi="Times New Roman" w:cs="Times New Roman"/>
          <w:sz w:val="24"/>
          <w:szCs w:val="24"/>
        </w:rPr>
        <w:t>Appellate Division</w:t>
      </w:r>
      <w:r>
        <w:rPr>
          <w:rFonts w:ascii="Times New Roman" w:hAnsi="Times New Roman" w:cs="Times New Roman"/>
          <w:sz w:val="24"/>
          <w:szCs w:val="24"/>
        </w:rPr>
        <w:t xml:space="preserve"> cautioned, however, that “</w:t>
      </w:r>
      <w:r w:rsidRPr="00F5129D">
        <w:rPr>
          <w:rFonts w:ascii="Times New Roman" w:hAnsi="Times New Roman" w:cs="Times New Roman"/>
          <w:sz w:val="24"/>
          <w:szCs w:val="24"/>
        </w:rPr>
        <w:t>an affidavit will only be needed when the underlying harmful conduct involves professional negligence, implicating the standards of care within that profession.</w:t>
      </w:r>
      <w:r>
        <w:rPr>
          <w:rFonts w:ascii="Times New Roman" w:hAnsi="Times New Roman" w:cs="Times New Roman"/>
          <w:sz w:val="24"/>
          <w:szCs w:val="24"/>
        </w:rPr>
        <w:t>”</w:t>
      </w:r>
      <w:r>
        <w:rPr>
          <w:rStyle w:val="FootnoteReference"/>
          <w:rFonts w:cs="Times New Roman"/>
          <w:sz w:val="24"/>
          <w:szCs w:val="24"/>
        </w:rPr>
        <w:footnoteReference w:id="17"/>
      </w:r>
      <w:r>
        <w:rPr>
          <w:rFonts w:ascii="Times New Roman" w:hAnsi="Times New Roman" w:cs="Times New Roman"/>
          <w:sz w:val="24"/>
          <w:szCs w:val="24"/>
        </w:rPr>
        <w:t xml:space="preserve"> </w:t>
      </w:r>
    </w:p>
    <w:p w:rsidR="00F5129D" w:rsidRPr="00F5129D" w:rsidRDefault="00F5129D" w:rsidP="00F5129D">
      <w:pPr>
        <w:spacing w:line="276" w:lineRule="auto"/>
        <w:ind w:firstLine="720"/>
        <w:jc w:val="both"/>
        <w:rPr>
          <w:rFonts w:ascii="Times New Roman" w:hAnsi="Times New Roman" w:cs="Times New Roman"/>
          <w:sz w:val="24"/>
          <w:szCs w:val="24"/>
        </w:rPr>
      </w:pPr>
    </w:p>
    <w:p w:rsidR="00507FC0" w:rsidRPr="00507FC0" w:rsidRDefault="00507FC0" w:rsidP="00F5129D">
      <w:pPr>
        <w:spacing w:line="276" w:lineRule="auto"/>
        <w:jc w:val="center"/>
        <w:rPr>
          <w:rFonts w:ascii="Times New Roman" w:eastAsia="Times New Roman" w:hAnsi="Times New Roman" w:cs="Times New Roman"/>
          <w:b/>
          <w:sz w:val="24"/>
          <w:szCs w:val="24"/>
        </w:rPr>
      </w:pPr>
      <w:r w:rsidRPr="00507FC0">
        <w:rPr>
          <w:rFonts w:ascii="Times New Roman" w:eastAsia="Times New Roman" w:hAnsi="Times New Roman" w:cs="Times New Roman"/>
          <w:b/>
          <w:sz w:val="24"/>
          <w:szCs w:val="24"/>
        </w:rPr>
        <w:t>Conclusion</w:t>
      </w:r>
    </w:p>
    <w:p w:rsidR="00507FC0" w:rsidRDefault="00507FC0" w:rsidP="00507FC0">
      <w:pPr>
        <w:spacing w:line="276" w:lineRule="auto"/>
        <w:jc w:val="center"/>
        <w:rPr>
          <w:rFonts w:ascii="Times New Roman" w:eastAsia="Times New Roman" w:hAnsi="Times New Roman" w:cs="Times New Roman"/>
          <w:sz w:val="24"/>
          <w:szCs w:val="24"/>
        </w:rPr>
      </w:pPr>
    </w:p>
    <w:p w:rsidR="00507FC0" w:rsidRDefault="006444C0" w:rsidP="00507FC0">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B86624">
        <w:rPr>
          <w:rFonts w:ascii="Times New Roman" w:eastAsia="Times New Roman" w:hAnsi="Times New Roman" w:cs="Times New Roman"/>
          <w:sz w:val="24"/>
          <w:szCs w:val="24"/>
        </w:rPr>
        <w:t xml:space="preserve">it may be argued that </w:t>
      </w:r>
      <w:r>
        <w:rPr>
          <w:rFonts w:ascii="Times New Roman" w:eastAsia="Times New Roman" w:hAnsi="Times New Roman" w:cs="Times New Roman"/>
          <w:sz w:val="24"/>
          <w:szCs w:val="24"/>
        </w:rPr>
        <w:t xml:space="preserve">the intent of the law is reasonably clear in requiring an AOM even when a claim is not literally against a “licensed person,” </w:t>
      </w:r>
      <w:r w:rsidR="00B86624">
        <w:rPr>
          <w:rFonts w:ascii="Times New Roman" w:eastAsia="Times New Roman" w:hAnsi="Times New Roman" w:cs="Times New Roman"/>
          <w:sz w:val="24"/>
          <w:szCs w:val="24"/>
        </w:rPr>
        <w:t xml:space="preserve">the Court recognized that until the </w:t>
      </w:r>
      <w:r w:rsidR="00B86624">
        <w:rPr>
          <w:rFonts w:ascii="Times New Roman" w:eastAsia="Times New Roman" w:hAnsi="Times New Roman" w:cs="Times New Roman"/>
          <w:i/>
          <w:sz w:val="24"/>
          <w:szCs w:val="24"/>
        </w:rPr>
        <w:t>McCormick</w:t>
      </w:r>
      <w:r w:rsidR="00B86624">
        <w:rPr>
          <w:rFonts w:ascii="Times New Roman" w:eastAsia="Times New Roman" w:hAnsi="Times New Roman" w:cs="Times New Roman"/>
          <w:sz w:val="24"/>
          <w:szCs w:val="24"/>
        </w:rPr>
        <w:t xml:space="preserve"> opinion was issued, there was no case law so holding. </w:t>
      </w:r>
      <w:r w:rsidR="00356A6B">
        <w:rPr>
          <w:rFonts w:ascii="Times New Roman" w:eastAsia="Times New Roman" w:hAnsi="Times New Roman" w:cs="Times New Roman"/>
          <w:sz w:val="24"/>
          <w:szCs w:val="24"/>
        </w:rPr>
        <w:t xml:space="preserve">A3620, introduced by Assemblywoman Nancy J. Pinkin </w:t>
      </w:r>
      <w:r w:rsidR="003937BE">
        <w:rPr>
          <w:rFonts w:ascii="Times New Roman" w:eastAsia="Times New Roman" w:hAnsi="Times New Roman" w:cs="Times New Roman"/>
          <w:sz w:val="24"/>
          <w:szCs w:val="24"/>
        </w:rPr>
        <w:t>for the new</w:t>
      </w:r>
      <w:r w:rsidR="00356A6B">
        <w:rPr>
          <w:rFonts w:ascii="Times New Roman" w:eastAsia="Times New Roman" w:hAnsi="Times New Roman" w:cs="Times New Roman"/>
          <w:sz w:val="24"/>
          <w:szCs w:val="24"/>
        </w:rPr>
        <w:t xml:space="preserve"> legislative session, addresses issue</w:t>
      </w:r>
      <w:r w:rsidR="006958E9">
        <w:rPr>
          <w:rFonts w:ascii="Times New Roman" w:eastAsia="Times New Roman" w:hAnsi="Times New Roman" w:cs="Times New Roman"/>
          <w:sz w:val="24"/>
          <w:szCs w:val="24"/>
        </w:rPr>
        <w:t>s</w:t>
      </w:r>
      <w:r w:rsidR="00356A6B">
        <w:rPr>
          <w:rFonts w:ascii="Times New Roman" w:eastAsia="Times New Roman" w:hAnsi="Times New Roman" w:cs="Times New Roman"/>
          <w:sz w:val="24"/>
          <w:szCs w:val="24"/>
        </w:rPr>
        <w:t xml:space="preserve"> </w:t>
      </w:r>
      <w:r w:rsidR="003937BE">
        <w:rPr>
          <w:rFonts w:ascii="Times New Roman" w:eastAsia="Times New Roman" w:hAnsi="Times New Roman" w:cs="Times New Roman"/>
          <w:sz w:val="24"/>
          <w:szCs w:val="24"/>
        </w:rPr>
        <w:t>regarding the submission of an</w:t>
      </w:r>
      <w:r w:rsidR="00356A6B">
        <w:rPr>
          <w:rFonts w:ascii="Times New Roman" w:eastAsia="Times New Roman" w:hAnsi="Times New Roman" w:cs="Times New Roman"/>
          <w:sz w:val="24"/>
          <w:szCs w:val="24"/>
        </w:rPr>
        <w:t xml:space="preserve"> </w:t>
      </w:r>
      <w:r w:rsidR="000052BA">
        <w:rPr>
          <w:rFonts w:ascii="Times New Roman" w:eastAsia="Times New Roman" w:hAnsi="Times New Roman" w:cs="Times New Roman"/>
          <w:sz w:val="24"/>
          <w:szCs w:val="24"/>
        </w:rPr>
        <w:t>affidavit of m</w:t>
      </w:r>
      <w:r w:rsidR="00356A6B">
        <w:rPr>
          <w:rFonts w:ascii="Times New Roman" w:eastAsia="Times New Roman" w:hAnsi="Times New Roman" w:cs="Times New Roman"/>
          <w:sz w:val="24"/>
          <w:szCs w:val="24"/>
        </w:rPr>
        <w:t xml:space="preserve">erit </w:t>
      </w:r>
      <w:r w:rsidR="000052BA">
        <w:rPr>
          <w:rFonts w:ascii="Times New Roman" w:eastAsia="Times New Roman" w:hAnsi="Times New Roman" w:cs="Times New Roman"/>
          <w:sz w:val="24"/>
          <w:szCs w:val="24"/>
        </w:rPr>
        <w:t xml:space="preserve">and </w:t>
      </w:r>
      <w:r w:rsidR="003937BE">
        <w:rPr>
          <w:rFonts w:ascii="Times New Roman" w:eastAsia="Times New Roman" w:hAnsi="Times New Roman" w:cs="Times New Roman"/>
          <w:sz w:val="24"/>
          <w:szCs w:val="24"/>
        </w:rPr>
        <w:t xml:space="preserve">some of the </w:t>
      </w:r>
      <w:r w:rsidR="00356A6B">
        <w:rPr>
          <w:rFonts w:ascii="Times New Roman" w:eastAsia="Times New Roman" w:hAnsi="Times New Roman" w:cs="Times New Roman"/>
          <w:sz w:val="24"/>
          <w:szCs w:val="24"/>
        </w:rPr>
        <w:t xml:space="preserve">information </w:t>
      </w:r>
      <w:r w:rsidR="003937BE">
        <w:rPr>
          <w:rFonts w:ascii="Times New Roman" w:eastAsia="Times New Roman" w:hAnsi="Times New Roman" w:cs="Times New Roman"/>
          <w:sz w:val="24"/>
          <w:szCs w:val="24"/>
        </w:rPr>
        <w:t xml:space="preserve">that it </w:t>
      </w:r>
      <w:r w:rsidR="00356A6B">
        <w:rPr>
          <w:rFonts w:ascii="Times New Roman" w:eastAsia="Times New Roman" w:hAnsi="Times New Roman" w:cs="Times New Roman"/>
          <w:sz w:val="24"/>
          <w:szCs w:val="24"/>
        </w:rPr>
        <w:t xml:space="preserve">should include, however </w:t>
      </w:r>
      <w:r w:rsidR="003937BE">
        <w:rPr>
          <w:rFonts w:ascii="Times New Roman" w:eastAsia="Times New Roman" w:hAnsi="Times New Roman" w:cs="Times New Roman"/>
          <w:sz w:val="24"/>
          <w:szCs w:val="24"/>
        </w:rPr>
        <w:t xml:space="preserve">the bill </w:t>
      </w:r>
      <w:r w:rsidR="00356A6B">
        <w:rPr>
          <w:rFonts w:ascii="Times New Roman" w:eastAsia="Times New Roman" w:hAnsi="Times New Roman" w:cs="Times New Roman"/>
          <w:sz w:val="24"/>
          <w:szCs w:val="24"/>
        </w:rPr>
        <w:t xml:space="preserve">does not </w:t>
      </w:r>
      <w:r w:rsidR="003937BE">
        <w:rPr>
          <w:rFonts w:ascii="Times New Roman" w:eastAsia="Times New Roman" w:hAnsi="Times New Roman" w:cs="Times New Roman"/>
          <w:sz w:val="24"/>
          <w:szCs w:val="24"/>
        </w:rPr>
        <w:t xml:space="preserve">appear to completely </w:t>
      </w:r>
      <w:r w:rsidR="00356A6B">
        <w:rPr>
          <w:rFonts w:ascii="Times New Roman" w:eastAsia="Times New Roman" w:hAnsi="Times New Roman" w:cs="Times New Roman"/>
          <w:sz w:val="24"/>
          <w:szCs w:val="24"/>
        </w:rPr>
        <w:t xml:space="preserve">address the </w:t>
      </w:r>
      <w:r w:rsidR="006958E9">
        <w:rPr>
          <w:rFonts w:ascii="Times New Roman" w:eastAsia="Times New Roman" w:hAnsi="Times New Roman" w:cs="Times New Roman"/>
          <w:sz w:val="24"/>
          <w:szCs w:val="24"/>
        </w:rPr>
        <w:t xml:space="preserve">specific </w:t>
      </w:r>
      <w:bookmarkStart w:id="0" w:name="_GoBack"/>
      <w:bookmarkEnd w:id="0"/>
      <w:r w:rsidR="00356A6B">
        <w:rPr>
          <w:rFonts w:ascii="Times New Roman" w:eastAsia="Times New Roman" w:hAnsi="Times New Roman" w:cs="Times New Roman"/>
          <w:sz w:val="24"/>
          <w:szCs w:val="24"/>
        </w:rPr>
        <w:t xml:space="preserve">issue </w:t>
      </w:r>
      <w:r w:rsidR="003937BE">
        <w:rPr>
          <w:rFonts w:ascii="Times New Roman" w:eastAsia="Times New Roman" w:hAnsi="Times New Roman" w:cs="Times New Roman"/>
          <w:sz w:val="24"/>
          <w:szCs w:val="24"/>
        </w:rPr>
        <w:t>raised by this case</w:t>
      </w:r>
      <w:r w:rsidR="00356A6B">
        <w:rPr>
          <w:rFonts w:ascii="Times New Roman" w:eastAsia="Times New Roman" w:hAnsi="Times New Roman" w:cs="Times New Roman"/>
          <w:sz w:val="24"/>
          <w:szCs w:val="24"/>
        </w:rPr>
        <w:t>.</w:t>
      </w:r>
    </w:p>
    <w:p w:rsidR="000E0B88" w:rsidRDefault="000E0B88" w:rsidP="00507FC0">
      <w:pPr>
        <w:spacing w:line="276" w:lineRule="auto"/>
        <w:ind w:firstLine="720"/>
        <w:jc w:val="both"/>
        <w:rPr>
          <w:rFonts w:ascii="Times New Roman" w:eastAsia="Times New Roman" w:hAnsi="Times New Roman" w:cs="Times New Roman"/>
          <w:sz w:val="24"/>
          <w:szCs w:val="24"/>
        </w:rPr>
      </w:pPr>
    </w:p>
    <w:p w:rsidR="00853A15" w:rsidRPr="000E0B88" w:rsidRDefault="000E0B88" w:rsidP="000E0B88">
      <w:pPr>
        <w:spacing w:line="276"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Staff seeks authorization to conduct additional research and outreach to determine whether modifying the Affidavit of Merit statute would aid in interpretation of the law and potentially eliminate the need for further litigation regarding the issue raised in </w:t>
      </w:r>
      <w:r>
        <w:rPr>
          <w:rFonts w:ascii="Times New Roman" w:eastAsia="Times New Roman" w:hAnsi="Times New Roman" w:cs="Times New Roman"/>
          <w:i/>
          <w:sz w:val="24"/>
          <w:szCs w:val="24"/>
        </w:rPr>
        <w:t>McCormick v. State.</w:t>
      </w:r>
    </w:p>
    <w:sectPr w:rsidR="00853A15" w:rsidRPr="000E0B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43" w:rsidRDefault="00D06A43" w:rsidP="00D06A43">
      <w:r>
        <w:separator/>
      </w:r>
    </w:p>
  </w:endnote>
  <w:endnote w:type="continuationSeparator" w:id="0">
    <w:p w:rsidR="00D06A43" w:rsidRDefault="00D06A43" w:rsidP="00D0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ED" w:rsidRPr="00FA27ED" w:rsidRDefault="00FA27ED" w:rsidP="00FA27ED">
    <w:pPr>
      <w:pStyle w:val="Footer"/>
      <w:jc w:val="center"/>
      <w:rPr>
        <w:rFonts w:ascii="Times New Roman" w:hAnsi="Times New Roman" w:cs="Times New Roman"/>
        <w:sz w:val="20"/>
        <w:szCs w:val="20"/>
      </w:rPr>
    </w:pPr>
    <w:r w:rsidRPr="00FA27ED">
      <w:rPr>
        <w:rFonts w:ascii="Times New Roman" w:hAnsi="Times New Roman" w:cs="Times New Roman"/>
        <w:i/>
        <w:sz w:val="20"/>
        <w:szCs w:val="20"/>
      </w:rPr>
      <w:t xml:space="preserve">McCormick v. State: </w:t>
    </w:r>
    <w:r w:rsidRPr="00FA27ED">
      <w:rPr>
        <w:rFonts w:ascii="Times New Roman" w:hAnsi="Times New Roman" w:cs="Times New Roman"/>
        <w:sz w:val="20"/>
        <w:szCs w:val="20"/>
      </w:rPr>
      <w:t>Affidavit of Merit Requirement in Suits Against Public Entities, N.J.S. 2A:53A-26 to -29</w:t>
    </w:r>
  </w:p>
  <w:p w:rsidR="00E13883" w:rsidRPr="00FA27ED" w:rsidRDefault="00271359" w:rsidP="00702F33">
    <w:pPr>
      <w:pStyle w:val="Footer"/>
      <w:jc w:val="center"/>
      <w:rPr>
        <w:rFonts w:ascii="Times New Roman" w:hAnsi="Times New Roman" w:cs="Times New Roman"/>
        <w:sz w:val="20"/>
        <w:szCs w:val="20"/>
      </w:rPr>
    </w:pPr>
    <w:r>
      <w:rPr>
        <w:rFonts w:ascii="Times New Roman" w:hAnsi="Times New Roman" w:cs="Times New Roman"/>
        <w:sz w:val="20"/>
        <w:szCs w:val="20"/>
      </w:rPr>
      <w:t>November 6</w:t>
    </w:r>
    <w:r w:rsidR="00FA27ED">
      <w:rPr>
        <w:rFonts w:ascii="Times New Roman" w:hAnsi="Times New Roman" w:cs="Times New Roman"/>
        <w:sz w:val="20"/>
        <w:szCs w:val="20"/>
      </w:rPr>
      <w:t>, 2017</w:t>
    </w:r>
    <w:r w:rsidR="00702F33" w:rsidRPr="00FA27ED">
      <w:rPr>
        <w:rFonts w:ascii="Times New Roman" w:hAnsi="Times New Roman" w:cs="Times New Roman"/>
        <w:sz w:val="20"/>
        <w:szCs w:val="20"/>
      </w:rPr>
      <w:t xml:space="preserve"> – Page </w:t>
    </w:r>
    <w:r w:rsidR="00702F33" w:rsidRPr="00FA27ED">
      <w:rPr>
        <w:rFonts w:ascii="Times New Roman" w:hAnsi="Times New Roman" w:cs="Times New Roman"/>
        <w:sz w:val="20"/>
        <w:szCs w:val="20"/>
      </w:rPr>
      <w:fldChar w:fldCharType="begin"/>
    </w:r>
    <w:r w:rsidR="00702F33" w:rsidRPr="00FA27ED">
      <w:rPr>
        <w:rFonts w:ascii="Times New Roman" w:hAnsi="Times New Roman" w:cs="Times New Roman"/>
        <w:sz w:val="20"/>
        <w:szCs w:val="20"/>
      </w:rPr>
      <w:instrText xml:space="preserve"> PAGE   \* MERGEFORMAT </w:instrText>
    </w:r>
    <w:r w:rsidR="00702F33" w:rsidRPr="00FA27ED">
      <w:rPr>
        <w:rFonts w:ascii="Times New Roman" w:hAnsi="Times New Roman" w:cs="Times New Roman"/>
        <w:sz w:val="20"/>
        <w:szCs w:val="20"/>
      </w:rPr>
      <w:fldChar w:fldCharType="separate"/>
    </w:r>
    <w:r w:rsidR="006958E9">
      <w:rPr>
        <w:rFonts w:ascii="Times New Roman" w:hAnsi="Times New Roman" w:cs="Times New Roman"/>
        <w:noProof/>
        <w:sz w:val="20"/>
        <w:szCs w:val="20"/>
      </w:rPr>
      <w:t>1</w:t>
    </w:r>
    <w:r w:rsidR="00702F33" w:rsidRPr="00FA27ED">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43" w:rsidRDefault="00D06A43" w:rsidP="00D06A43">
      <w:r>
        <w:separator/>
      </w:r>
    </w:p>
  </w:footnote>
  <w:footnote w:type="continuationSeparator" w:id="0">
    <w:p w:rsidR="00D06A43" w:rsidRDefault="00D06A43" w:rsidP="00D06A43">
      <w:r>
        <w:continuationSeparator/>
      </w:r>
    </w:p>
  </w:footnote>
  <w:footnote w:id="1">
    <w:p w:rsidR="00507FC0" w:rsidRDefault="00507FC0" w:rsidP="00507FC0">
      <w:pPr>
        <w:pStyle w:val="FootnoteText"/>
        <w:rPr>
          <w:rFonts w:cs="Times New Roman"/>
        </w:rPr>
      </w:pPr>
      <w:r>
        <w:rPr>
          <w:rStyle w:val="FootnoteReference"/>
        </w:rPr>
        <w:footnoteRef/>
      </w:r>
      <w:r>
        <w:rPr>
          <w:rFonts w:cs="Times New Roman"/>
        </w:rPr>
        <w:t xml:space="preserve"> </w:t>
      </w:r>
      <w:r w:rsidR="00392D1E">
        <w:rPr>
          <w:rFonts w:cs="Times New Roman"/>
        </w:rPr>
        <w:t>446 N.J. Super. 603 (App. Div. 2016)</w:t>
      </w:r>
      <w:r>
        <w:rPr>
          <w:rFonts w:cs="Times New Roman"/>
        </w:rPr>
        <w:t>.</w:t>
      </w:r>
    </w:p>
  </w:footnote>
  <w:footnote w:id="2">
    <w:p w:rsidR="00D14287" w:rsidRPr="00D14287" w:rsidRDefault="00D14287">
      <w:pPr>
        <w:pStyle w:val="FootnoteText"/>
      </w:pPr>
      <w:r>
        <w:rPr>
          <w:rStyle w:val="FootnoteReference"/>
        </w:rPr>
        <w:footnoteRef/>
      </w:r>
      <w:r>
        <w:t xml:space="preserve"> </w:t>
      </w:r>
      <w:r>
        <w:rPr>
          <w:i/>
        </w:rPr>
        <w:t xml:space="preserve">Id. </w:t>
      </w:r>
      <w:r>
        <w:t>at 607.</w:t>
      </w:r>
    </w:p>
  </w:footnote>
  <w:footnote w:id="3">
    <w:p w:rsidR="00507FC0" w:rsidRDefault="00507FC0" w:rsidP="00507FC0">
      <w:pPr>
        <w:pStyle w:val="FootnoteText"/>
      </w:pPr>
      <w:r>
        <w:rPr>
          <w:rStyle w:val="FootnoteReference"/>
        </w:rPr>
        <w:footnoteRef/>
      </w:r>
      <w:r>
        <w:t xml:space="preserve"> </w:t>
      </w:r>
      <w:r w:rsidR="00076931">
        <w:rPr>
          <w:i/>
        </w:rPr>
        <w:t>Id.</w:t>
      </w:r>
    </w:p>
  </w:footnote>
  <w:footnote w:id="4">
    <w:p w:rsidR="00874347" w:rsidRPr="00874347" w:rsidRDefault="00874347">
      <w:pPr>
        <w:pStyle w:val="FootnoteText"/>
      </w:pPr>
      <w:r>
        <w:rPr>
          <w:rStyle w:val="FootnoteReference"/>
        </w:rPr>
        <w:footnoteRef/>
      </w:r>
      <w:r>
        <w:t xml:space="preserve"> </w:t>
      </w:r>
      <w:r>
        <w:rPr>
          <w:i/>
        </w:rPr>
        <w:t xml:space="preserve">Id. </w:t>
      </w:r>
      <w:r>
        <w:t>at 614–15.</w:t>
      </w:r>
    </w:p>
  </w:footnote>
  <w:footnote w:id="5">
    <w:p w:rsidR="001D7D31" w:rsidRPr="001D7D31" w:rsidRDefault="001D7D31">
      <w:pPr>
        <w:pStyle w:val="FootnoteText"/>
      </w:pPr>
      <w:r>
        <w:rPr>
          <w:rStyle w:val="FootnoteReference"/>
        </w:rPr>
        <w:footnoteRef/>
      </w:r>
      <w:r>
        <w:t xml:space="preserve"> </w:t>
      </w:r>
      <w:r>
        <w:rPr>
          <w:i/>
        </w:rPr>
        <w:t xml:space="preserve">Id. </w:t>
      </w:r>
      <w:r>
        <w:t>at 608.</w:t>
      </w:r>
    </w:p>
  </w:footnote>
  <w:footnote w:id="6">
    <w:p w:rsidR="001D7D31" w:rsidRPr="001D7D31" w:rsidRDefault="001D7D31">
      <w:pPr>
        <w:pStyle w:val="FootnoteText"/>
        <w:rPr>
          <w:i/>
        </w:rPr>
      </w:pPr>
      <w:r>
        <w:rPr>
          <w:rStyle w:val="FootnoteReference"/>
        </w:rPr>
        <w:footnoteRef/>
      </w:r>
      <w:r>
        <w:t xml:space="preserve"> </w:t>
      </w:r>
      <w:r>
        <w:rPr>
          <w:i/>
        </w:rPr>
        <w:t>Id.</w:t>
      </w:r>
    </w:p>
  </w:footnote>
  <w:footnote w:id="7">
    <w:p w:rsidR="001D7D31" w:rsidRPr="001D7D31" w:rsidRDefault="001D7D31">
      <w:pPr>
        <w:pStyle w:val="FootnoteText"/>
        <w:rPr>
          <w:i/>
        </w:rPr>
      </w:pPr>
      <w:r>
        <w:rPr>
          <w:rStyle w:val="FootnoteReference"/>
        </w:rPr>
        <w:footnoteRef/>
      </w:r>
      <w:r>
        <w:t xml:space="preserve"> </w:t>
      </w:r>
      <w:r>
        <w:rPr>
          <w:i/>
        </w:rPr>
        <w:t>Id.</w:t>
      </w:r>
    </w:p>
  </w:footnote>
  <w:footnote w:id="8">
    <w:p w:rsidR="001D7D31" w:rsidRPr="001D7D31" w:rsidRDefault="001D7D31">
      <w:pPr>
        <w:pStyle w:val="FootnoteText"/>
        <w:rPr>
          <w:i/>
        </w:rPr>
      </w:pPr>
      <w:r>
        <w:rPr>
          <w:rStyle w:val="FootnoteReference"/>
        </w:rPr>
        <w:footnoteRef/>
      </w:r>
      <w:r>
        <w:t xml:space="preserve"> </w:t>
      </w:r>
      <w:r w:rsidR="004C12AA">
        <w:rPr>
          <w:i/>
        </w:rPr>
        <w:t>Id.</w:t>
      </w:r>
    </w:p>
  </w:footnote>
  <w:footnote w:id="9">
    <w:p w:rsidR="001D7D31" w:rsidRPr="00FA394C" w:rsidRDefault="001D7D31">
      <w:pPr>
        <w:pStyle w:val="FootnoteText"/>
      </w:pPr>
      <w:r>
        <w:rPr>
          <w:rStyle w:val="FootnoteReference"/>
        </w:rPr>
        <w:footnoteRef/>
      </w:r>
      <w:r>
        <w:t xml:space="preserve"> </w:t>
      </w:r>
      <w:r>
        <w:rPr>
          <w:i/>
        </w:rPr>
        <w:t>Id.</w:t>
      </w:r>
      <w:r w:rsidR="00FA394C">
        <w:rPr>
          <w:i/>
        </w:rPr>
        <w:t xml:space="preserve"> </w:t>
      </w:r>
      <w:r w:rsidR="00FA394C">
        <w:t>at 609.</w:t>
      </w:r>
    </w:p>
  </w:footnote>
  <w:footnote w:id="10">
    <w:p w:rsidR="004C12AA" w:rsidRPr="004C12AA" w:rsidRDefault="004C12AA">
      <w:pPr>
        <w:pStyle w:val="FootnoteText"/>
      </w:pPr>
      <w:r>
        <w:rPr>
          <w:rStyle w:val="FootnoteReference"/>
        </w:rPr>
        <w:footnoteRef/>
      </w:r>
      <w:r>
        <w:t xml:space="preserve"> </w:t>
      </w:r>
      <w:r>
        <w:rPr>
          <w:i/>
        </w:rPr>
        <w:t xml:space="preserve">Id. </w:t>
      </w:r>
      <w:r w:rsidR="00FA394C">
        <w:t>at 610</w:t>
      </w:r>
      <w:r>
        <w:t>.</w:t>
      </w:r>
    </w:p>
  </w:footnote>
  <w:footnote w:id="11">
    <w:p w:rsidR="00FA394C" w:rsidRPr="00155C62" w:rsidRDefault="00FA394C">
      <w:pPr>
        <w:pStyle w:val="FootnoteText"/>
      </w:pPr>
      <w:r>
        <w:rPr>
          <w:rStyle w:val="FootnoteReference"/>
        </w:rPr>
        <w:footnoteRef/>
      </w:r>
      <w:r>
        <w:t xml:space="preserve"> </w:t>
      </w:r>
      <w:r>
        <w:rPr>
          <w:i/>
        </w:rPr>
        <w:t>Id</w:t>
      </w:r>
      <w:r w:rsidR="00155C62">
        <w:rPr>
          <w:i/>
        </w:rPr>
        <w:t xml:space="preserve">. </w:t>
      </w:r>
      <w:r w:rsidR="00155C62">
        <w:t xml:space="preserve">at 616, </w:t>
      </w:r>
      <w:r w:rsidR="005372C4">
        <w:t>618.</w:t>
      </w:r>
    </w:p>
  </w:footnote>
  <w:footnote w:id="12">
    <w:p w:rsidR="008D4447" w:rsidRPr="008D4447" w:rsidRDefault="008D4447">
      <w:pPr>
        <w:pStyle w:val="FootnoteText"/>
      </w:pPr>
      <w:r>
        <w:rPr>
          <w:rStyle w:val="FootnoteReference"/>
        </w:rPr>
        <w:footnoteRef/>
      </w:r>
      <w:r>
        <w:t xml:space="preserve"> </w:t>
      </w:r>
      <w:r>
        <w:rPr>
          <w:i/>
        </w:rPr>
        <w:t xml:space="preserve">Id. </w:t>
      </w:r>
      <w:r>
        <w:t>at 612.</w:t>
      </w:r>
    </w:p>
  </w:footnote>
  <w:footnote w:id="13">
    <w:p w:rsidR="004F18DC" w:rsidRDefault="004F18DC">
      <w:pPr>
        <w:pStyle w:val="FootnoteText"/>
      </w:pPr>
      <w:r>
        <w:rPr>
          <w:rStyle w:val="FootnoteReference"/>
        </w:rPr>
        <w:footnoteRef/>
      </w:r>
      <w:r>
        <w:t xml:space="preserve"> N.J.S. 2A:53A-27.</w:t>
      </w:r>
    </w:p>
  </w:footnote>
  <w:footnote w:id="14">
    <w:p w:rsidR="00A17481" w:rsidRPr="00A17481" w:rsidRDefault="00A17481">
      <w:pPr>
        <w:pStyle w:val="FootnoteText"/>
      </w:pPr>
      <w:r>
        <w:rPr>
          <w:rStyle w:val="FootnoteReference"/>
        </w:rPr>
        <w:footnoteRef/>
      </w:r>
      <w:r>
        <w:t xml:space="preserve"> </w:t>
      </w:r>
      <w:r>
        <w:rPr>
          <w:i/>
        </w:rPr>
        <w:t>McCormick</w:t>
      </w:r>
      <w:r>
        <w:t>, 446 N.J. Super.</w:t>
      </w:r>
      <w:r>
        <w:rPr>
          <w:i/>
        </w:rPr>
        <w:t xml:space="preserve"> </w:t>
      </w:r>
      <w:r>
        <w:t>at 613.</w:t>
      </w:r>
    </w:p>
  </w:footnote>
  <w:footnote w:id="15">
    <w:p w:rsidR="00F5129D" w:rsidRPr="00F5129D" w:rsidRDefault="00F5129D">
      <w:pPr>
        <w:pStyle w:val="FootnoteText"/>
      </w:pPr>
      <w:r>
        <w:rPr>
          <w:rStyle w:val="FootnoteReference"/>
        </w:rPr>
        <w:footnoteRef/>
      </w:r>
      <w:r>
        <w:t xml:space="preserve"> </w:t>
      </w:r>
      <w:r>
        <w:rPr>
          <w:i/>
        </w:rPr>
        <w:t>Id.</w:t>
      </w:r>
      <w:r>
        <w:t xml:space="preserve"> at 612.</w:t>
      </w:r>
    </w:p>
  </w:footnote>
  <w:footnote w:id="16">
    <w:p w:rsidR="00F5129D" w:rsidRPr="00F5129D" w:rsidRDefault="00F5129D">
      <w:pPr>
        <w:pStyle w:val="FootnoteText"/>
      </w:pPr>
      <w:r>
        <w:rPr>
          <w:rStyle w:val="FootnoteReference"/>
        </w:rPr>
        <w:footnoteRef/>
      </w:r>
      <w:r>
        <w:t xml:space="preserve"> </w:t>
      </w:r>
      <w:r>
        <w:rPr>
          <w:i/>
        </w:rPr>
        <w:t>Id.</w:t>
      </w:r>
      <w:r>
        <w:t xml:space="preserve"> at 613.</w:t>
      </w:r>
    </w:p>
  </w:footnote>
  <w:footnote w:id="17">
    <w:p w:rsidR="00F5129D" w:rsidRPr="00F5129D" w:rsidRDefault="00F5129D">
      <w:pPr>
        <w:pStyle w:val="FootnoteText"/>
      </w:pPr>
      <w:r>
        <w:rPr>
          <w:rStyle w:val="FootnoteReference"/>
        </w:rPr>
        <w:footnoteRef/>
      </w:r>
      <w:r>
        <w:t xml:space="preserve"> </w:t>
      </w:r>
      <w:r>
        <w:rPr>
          <w:i/>
        </w:rPr>
        <w:t>Id.</w:t>
      </w:r>
      <w:r>
        <w:t xml:space="preserve"> at 613-614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43"/>
    <w:rsid w:val="00001EBE"/>
    <w:rsid w:val="000052BA"/>
    <w:rsid w:val="0005790F"/>
    <w:rsid w:val="00076931"/>
    <w:rsid w:val="000A699F"/>
    <w:rsid w:val="000E0B88"/>
    <w:rsid w:val="000E4509"/>
    <w:rsid w:val="00112B35"/>
    <w:rsid w:val="00141091"/>
    <w:rsid w:val="00146AAB"/>
    <w:rsid w:val="00155C62"/>
    <w:rsid w:val="0016312E"/>
    <w:rsid w:val="001A3EC8"/>
    <w:rsid w:val="001D7D31"/>
    <w:rsid w:val="002306D4"/>
    <w:rsid w:val="00233B49"/>
    <w:rsid w:val="00252CD4"/>
    <w:rsid w:val="00255ABD"/>
    <w:rsid w:val="00257BBC"/>
    <w:rsid w:val="00271359"/>
    <w:rsid w:val="0028259E"/>
    <w:rsid w:val="002B5DB7"/>
    <w:rsid w:val="0032339B"/>
    <w:rsid w:val="003425B4"/>
    <w:rsid w:val="00356A6B"/>
    <w:rsid w:val="00375A94"/>
    <w:rsid w:val="00392B82"/>
    <w:rsid w:val="00392D1E"/>
    <w:rsid w:val="003937BE"/>
    <w:rsid w:val="003A1DA8"/>
    <w:rsid w:val="003E0980"/>
    <w:rsid w:val="00402798"/>
    <w:rsid w:val="0043133E"/>
    <w:rsid w:val="004539CC"/>
    <w:rsid w:val="004918D2"/>
    <w:rsid w:val="004C12AA"/>
    <w:rsid w:val="004E601F"/>
    <w:rsid w:val="004F18DC"/>
    <w:rsid w:val="00507FC0"/>
    <w:rsid w:val="005372C4"/>
    <w:rsid w:val="00545EDF"/>
    <w:rsid w:val="005920D3"/>
    <w:rsid w:val="005C754F"/>
    <w:rsid w:val="006444C0"/>
    <w:rsid w:val="00650EE7"/>
    <w:rsid w:val="006543CC"/>
    <w:rsid w:val="00670E32"/>
    <w:rsid w:val="006958E9"/>
    <w:rsid w:val="006A266E"/>
    <w:rsid w:val="00702F33"/>
    <w:rsid w:val="00705915"/>
    <w:rsid w:val="00713480"/>
    <w:rsid w:val="00743996"/>
    <w:rsid w:val="00783C74"/>
    <w:rsid w:val="00797930"/>
    <w:rsid w:val="007B73A5"/>
    <w:rsid w:val="007D4E5C"/>
    <w:rsid w:val="007D58C8"/>
    <w:rsid w:val="007D7EB7"/>
    <w:rsid w:val="008364E0"/>
    <w:rsid w:val="00853A15"/>
    <w:rsid w:val="00874347"/>
    <w:rsid w:val="00880DF6"/>
    <w:rsid w:val="008A7B86"/>
    <w:rsid w:val="008D23D7"/>
    <w:rsid w:val="008D4447"/>
    <w:rsid w:val="008E1F8C"/>
    <w:rsid w:val="00951E7B"/>
    <w:rsid w:val="00970247"/>
    <w:rsid w:val="00977368"/>
    <w:rsid w:val="009959CE"/>
    <w:rsid w:val="009B7CB0"/>
    <w:rsid w:val="00A040D8"/>
    <w:rsid w:val="00A1053C"/>
    <w:rsid w:val="00A14A61"/>
    <w:rsid w:val="00A17481"/>
    <w:rsid w:val="00A920DF"/>
    <w:rsid w:val="00AB75FF"/>
    <w:rsid w:val="00AC79DB"/>
    <w:rsid w:val="00AE3511"/>
    <w:rsid w:val="00B06366"/>
    <w:rsid w:val="00B1533D"/>
    <w:rsid w:val="00B31684"/>
    <w:rsid w:val="00B317D6"/>
    <w:rsid w:val="00B57FC9"/>
    <w:rsid w:val="00B71D5E"/>
    <w:rsid w:val="00B7242A"/>
    <w:rsid w:val="00B86624"/>
    <w:rsid w:val="00BA6435"/>
    <w:rsid w:val="00C40DC1"/>
    <w:rsid w:val="00C60FF4"/>
    <w:rsid w:val="00C92197"/>
    <w:rsid w:val="00CB036D"/>
    <w:rsid w:val="00CF28AA"/>
    <w:rsid w:val="00D062AF"/>
    <w:rsid w:val="00D06A43"/>
    <w:rsid w:val="00D14287"/>
    <w:rsid w:val="00D434A6"/>
    <w:rsid w:val="00D45BBD"/>
    <w:rsid w:val="00D5058C"/>
    <w:rsid w:val="00DF4694"/>
    <w:rsid w:val="00DF5E27"/>
    <w:rsid w:val="00E069C7"/>
    <w:rsid w:val="00E13883"/>
    <w:rsid w:val="00E17134"/>
    <w:rsid w:val="00E57512"/>
    <w:rsid w:val="00EA5B7C"/>
    <w:rsid w:val="00EF270E"/>
    <w:rsid w:val="00F04298"/>
    <w:rsid w:val="00F24DA7"/>
    <w:rsid w:val="00F2650A"/>
    <w:rsid w:val="00F33DF5"/>
    <w:rsid w:val="00F41178"/>
    <w:rsid w:val="00F5129D"/>
    <w:rsid w:val="00F8546C"/>
    <w:rsid w:val="00FA27ED"/>
    <w:rsid w:val="00FA394C"/>
    <w:rsid w:val="00FD629B"/>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E514880-30B4-4213-81D1-49B66EC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8C"/>
    <w:pPr>
      <w:spacing w:after="0" w:line="240"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58C"/>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5058C"/>
    <w:rPr>
      <w:rFonts w:cstheme="minorBidi"/>
      <w:b w:val="0"/>
      <w:sz w:val="20"/>
      <w:szCs w:val="20"/>
    </w:rPr>
  </w:style>
  <w:style w:type="character" w:styleId="FootnoteReference">
    <w:name w:val="footnote reference"/>
    <w:basedOn w:val="DefaultParagraphFont"/>
    <w:uiPriority w:val="99"/>
    <w:semiHidden/>
    <w:unhideWhenUsed/>
    <w:rsid w:val="00D5058C"/>
    <w:rPr>
      <w:rFonts w:ascii="Times New Roman" w:hAnsi="Times New Roman"/>
      <w:vertAlign w:val="superscript"/>
    </w:rPr>
  </w:style>
  <w:style w:type="paragraph" w:styleId="Footer">
    <w:name w:val="footer"/>
    <w:basedOn w:val="Normal"/>
    <w:link w:val="FooterChar"/>
    <w:uiPriority w:val="99"/>
    <w:unhideWhenUsed/>
    <w:rsid w:val="00D06A43"/>
    <w:pPr>
      <w:tabs>
        <w:tab w:val="center" w:pos="4680"/>
        <w:tab w:val="right" w:pos="9360"/>
      </w:tabs>
    </w:pPr>
  </w:style>
  <w:style w:type="character" w:customStyle="1" w:styleId="FooterChar">
    <w:name w:val="Footer Char"/>
    <w:basedOn w:val="DefaultParagraphFont"/>
    <w:link w:val="Footer"/>
    <w:uiPriority w:val="99"/>
    <w:rsid w:val="00D06A43"/>
    <w:rPr>
      <w:rFonts w:asciiTheme="minorHAnsi" w:hAnsiTheme="minorHAnsi" w:cstheme="minorBidi"/>
      <w:b w:val="0"/>
      <w:sz w:val="22"/>
      <w:szCs w:val="22"/>
    </w:rPr>
  </w:style>
  <w:style w:type="paragraph" w:styleId="Header">
    <w:name w:val="header"/>
    <w:basedOn w:val="Normal"/>
    <w:link w:val="HeaderChar"/>
    <w:uiPriority w:val="99"/>
    <w:unhideWhenUsed/>
    <w:rsid w:val="00C40DC1"/>
    <w:pPr>
      <w:tabs>
        <w:tab w:val="center" w:pos="4680"/>
        <w:tab w:val="right" w:pos="9360"/>
      </w:tabs>
    </w:pPr>
  </w:style>
  <w:style w:type="character" w:customStyle="1" w:styleId="HeaderChar">
    <w:name w:val="Header Char"/>
    <w:basedOn w:val="DefaultParagraphFont"/>
    <w:link w:val="Header"/>
    <w:uiPriority w:val="99"/>
    <w:rsid w:val="00C40DC1"/>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762">
      <w:bodyDiv w:val="1"/>
      <w:marLeft w:val="0"/>
      <w:marRight w:val="0"/>
      <w:marTop w:val="0"/>
      <w:marBottom w:val="0"/>
      <w:divBdr>
        <w:top w:val="none" w:sz="0" w:space="0" w:color="auto"/>
        <w:left w:val="none" w:sz="0" w:space="0" w:color="auto"/>
        <w:bottom w:val="none" w:sz="0" w:space="0" w:color="auto"/>
        <w:right w:val="none" w:sz="0" w:space="0" w:color="auto"/>
      </w:divBdr>
    </w:div>
    <w:div w:id="224990575">
      <w:bodyDiv w:val="1"/>
      <w:marLeft w:val="0"/>
      <w:marRight w:val="0"/>
      <w:marTop w:val="0"/>
      <w:marBottom w:val="0"/>
      <w:divBdr>
        <w:top w:val="none" w:sz="0" w:space="0" w:color="auto"/>
        <w:left w:val="none" w:sz="0" w:space="0" w:color="auto"/>
        <w:bottom w:val="none" w:sz="0" w:space="0" w:color="auto"/>
        <w:right w:val="none" w:sz="0" w:space="0" w:color="auto"/>
      </w:divBdr>
    </w:div>
    <w:div w:id="594828714">
      <w:bodyDiv w:val="1"/>
      <w:marLeft w:val="0"/>
      <w:marRight w:val="0"/>
      <w:marTop w:val="0"/>
      <w:marBottom w:val="0"/>
      <w:divBdr>
        <w:top w:val="none" w:sz="0" w:space="0" w:color="auto"/>
        <w:left w:val="none" w:sz="0" w:space="0" w:color="auto"/>
        <w:bottom w:val="none" w:sz="0" w:space="0" w:color="auto"/>
        <w:right w:val="none" w:sz="0" w:space="0" w:color="auto"/>
      </w:divBdr>
    </w:div>
    <w:div w:id="859053135">
      <w:bodyDiv w:val="1"/>
      <w:marLeft w:val="0"/>
      <w:marRight w:val="0"/>
      <w:marTop w:val="0"/>
      <w:marBottom w:val="0"/>
      <w:divBdr>
        <w:top w:val="none" w:sz="0" w:space="0" w:color="auto"/>
        <w:left w:val="none" w:sz="0" w:space="0" w:color="auto"/>
        <w:bottom w:val="none" w:sz="0" w:space="0" w:color="auto"/>
        <w:right w:val="none" w:sz="0" w:space="0" w:color="auto"/>
      </w:divBdr>
      <w:divsChild>
        <w:div w:id="2043360232">
          <w:marLeft w:val="0"/>
          <w:marRight w:val="0"/>
          <w:marTop w:val="0"/>
          <w:marBottom w:val="0"/>
          <w:divBdr>
            <w:top w:val="none" w:sz="0" w:space="0" w:color="auto"/>
            <w:left w:val="none" w:sz="0" w:space="0" w:color="auto"/>
            <w:bottom w:val="none" w:sz="0" w:space="0" w:color="auto"/>
            <w:right w:val="none" w:sz="0" w:space="0" w:color="auto"/>
          </w:divBdr>
        </w:div>
        <w:div w:id="927495798">
          <w:marLeft w:val="0"/>
          <w:marRight w:val="0"/>
          <w:marTop w:val="240"/>
          <w:marBottom w:val="0"/>
          <w:divBdr>
            <w:top w:val="none" w:sz="0" w:space="0" w:color="auto"/>
            <w:left w:val="none" w:sz="0" w:space="0" w:color="auto"/>
            <w:bottom w:val="none" w:sz="0" w:space="0" w:color="auto"/>
            <w:right w:val="none" w:sz="0" w:space="0" w:color="auto"/>
          </w:divBdr>
          <w:divsChild>
            <w:div w:id="18209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33">
      <w:bodyDiv w:val="1"/>
      <w:marLeft w:val="0"/>
      <w:marRight w:val="0"/>
      <w:marTop w:val="0"/>
      <w:marBottom w:val="0"/>
      <w:divBdr>
        <w:top w:val="none" w:sz="0" w:space="0" w:color="auto"/>
        <w:left w:val="none" w:sz="0" w:space="0" w:color="auto"/>
        <w:bottom w:val="none" w:sz="0" w:space="0" w:color="auto"/>
        <w:right w:val="none" w:sz="0" w:space="0" w:color="auto"/>
      </w:divBdr>
    </w:div>
    <w:div w:id="1408385405">
      <w:bodyDiv w:val="1"/>
      <w:marLeft w:val="0"/>
      <w:marRight w:val="0"/>
      <w:marTop w:val="0"/>
      <w:marBottom w:val="0"/>
      <w:divBdr>
        <w:top w:val="none" w:sz="0" w:space="0" w:color="auto"/>
        <w:left w:val="none" w:sz="0" w:space="0" w:color="auto"/>
        <w:bottom w:val="none" w:sz="0" w:space="0" w:color="auto"/>
        <w:right w:val="none" w:sz="0" w:space="0" w:color="auto"/>
      </w:divBdr>
    </w:div>
    <w:div w:id="20071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D0EE-85D3-4C7B-A270-E864DBB6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Clerk3</dc:creator>
  <cp:lastModifiedBy>Laura Tharney</cp:lastModifiedBy>
  <cp:revision>4</cp:revision>
  <dcterms:created xsi:type="dcterms:W3CDTF">2018-02-02T19:22:00Z</dcterms:created>
  <dcterms:modified xsi:type="dcterms:W3CDTF">2018-02-02T20:07:00Z</dcterms:modified>
</cp:coreProperties>
</file>